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w:t>
      </w:r>
      <w:r>
        <w:rPr>
          <w:rFonts w:hint="eastAsia" w:eastAsia="方正小标宋简体"/>
          <w:sz w:val="44"/>
          <w:szCs w:val="44"/>
          <w:lang w:val="en-US" w:eastAsia="zh-CN"/>
        </w:rPr>
        <w:t>南塔街道</w:t>
      </w:r>
      <w:r>
        <w:rPr>
          <w:rFonts w:hint="eastAsia" w:eastAsia="方正小标宋简体"/>
          <w:sz w:val="44"/>
          <w:szCs w:val="44"/>
        </w:rPr>
        <w:t>项目支出绩效自评报告</w:t>
      </w:r>
    </w:p>
    <w:p>
      <w:pPr>
        <w:spacing w:line="580" w:lineRule="exact"/>
        <w:jc w:val="center"/>
        <w:rPr>
          <w:rFonts w:hint="eastAsia"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南塔街道办事处便民服务中心项目</w:t>
      </w:r>
      <w:r>
        <w:rPr>
          <w:rFonts w:hint="eastAsia" w:eastAsia="方正楷体简体"/>
          <w:b/>
          <w:sz w:val="32"/>
          <w:szCs w:val="32"/>
          <w:lang w:eastAsia="zh-CN"/>
        </w:rPr>
        <w:t>建设资金</w:t>
      </w:r>
      <w:r>
        <w:rPr>
          <w:rFonts w:hint="eastAsia" w:eastAsia="方正楷体简体"/>
          <w:b/>
          <w:sz w:val="32"/>
          <w:szCs w:val="32"/>
        </w:rPr>
        <w:t>）</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为充分发放财政资金的作用，按照乐至县财政局《关于开展2021年度财政支出绩效自评工作的通知》（乐财监督绩效【2022】5号）通知要求，我街道高度重视，认真组织开展南塔街道办事处便民服务中心建设资金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lang w:val="en-US" w:eastAsia="zh-CN"/>
        </w:rPr>
      </w:pPr>
      <w:r>
        <w:rPr>
          <w:rFonts w:eastAsia="方正仿宋简体"/>
          <w:b/>
          <w:sz w:val="32"/>
          <w:szCs w:val="32"/>
        </w:rPr>
        <w:t>1.</w:t>
      </w:r>
      <w:r>
        <w:rPr>
          <w:rFonts w:hint="eastAsia" w:eastAsia="方正仿宋简体"/>
          <w:sz w:val="32"/>
          <w:szCs w:val="32"/>
        </w:rPr>
        <w:t>立项背景及目的</w:t>
      </w:r>
      <w:r>
        <w:rPr>
          <w:rFonts w:hint="eastAsia" w:eastAsia="方正仿宋简体"/>
          <w:sz w:val="32"/>
          <w:szCs w:val="32"/>
          <w:lang w:eastAsia="zh-CN"/>
        </w:rPr>
        <w:t>。</w:t>
      </w:r>
      <w:r>
        <w:rPr>
          <w:rFonts w:hint="eastAsia" w:eastAsia="方正仿宋简体"/>
          <w:sz w:val="32"/>
          <w:szCs w:val="32"/>
          <w:lang w:val="en-US" w:eastAsia="zh-CN"/>
        </w:rPr>
        <w:t>南塔街道辖区人口多，事务繁杂，街道职能部门分割，为方便群众办理业务，将与群众生活密切相关的行政审批和服务事项集中到便民服务中心办理，是南塔街道实现为民办实事的重要突破口，切实增强群众获得感和幸福感。</w:t>
      </w:r>
    </w:p>
    <w:p>
      <w:pPr>
        <w:spacing w:line="580" w:lineRule="exact"/>
        <w:ind w:firstLine="643" w:firstLineChars="200"/>
        <w:rPr>
          <w:rFonts w:hint="eastAsia" w:eastAsia="方正仿宋简体"/>
          <w:sz w:val="28"/>
          <w:szCs w:val="28"/>
          <w:lang w:eastAsia="zh-CN"/>
        </w:rPr>
      </w:pPr>
      <w:r>
        <w:rPr>
          <w:rFonts w:eastAsia="方正仿宋简体"/>
          <w:b/>
          <w:sz w:val="32"/>
          <w:szCs w:val="32"/>
        </w:rPr>
        <w:t>2.</w:t>
      </w:r>
      <w:r>
        <w:rPr>
          <w:rFonts w:hint="eastAsia" w:eastAsia="方正仿宋简体"/>
          <w:sz w:val="32"/>
          <w:szCs w:val="32"/>
        </w:rPr>
        <w:t>预算资金来源及使用情况</w:t>
      </w:r>
      <w:r>
        <w:rPr>
          <w:rFonts w:hint="eastAsia" w:eastAsia="方正仿宋简体"/>
          <w:sz w:val="32"/>
          <w:szCs w:val="32"/>
          <w:lang w:eastAsia="zh-CN"/>
        </w:rPr>
        <w:t>。</w:t>
      </w:r>
      <w:r>
        <w:rPr>
          <w:rFonts w:hint="eastAsia" w:eastAsia="方正仿宋简体"/>
          <w:sz w:val="28"/>
          <w:szCs w:val="28"/>
          <w:lang w:val="en-US" w:eastAsia="zh-CN"/>
        </w:rPr>
        <w:t>项目全年预算数40.00万元，执行数为40.00万元，用于建设南塔街道便民服务中心，完成预算的100%。</w:t>
      </w:r>
    </w:p>
    <w:p>
      <w:pPr>
        <w:spacing w:line="580" w:lineRule="exact"/>
        <w:ind w:firstLine="643" w:firstLineChars="200"/>
        <w:rPr>
          <w:rFonts w:hint="eastAsia" w:eastAsia="方正仿宋简体"/>
          <w:sz w:val="28"/>
          <w:szCs w:val="28"/>
          <w:lang w:val="en-US" w:eastAsia="zh-CN"/>
        </w:rPr>
      </w:pPr>
      <w:r>
        <w:rPr>
          <w:rFonts w:hint="eastAsia" w:eastAsia="方正仿宋简体"/>
          <w:b/>
          <w:bCs/>
          <w:sz w:val="32"/>
          <w:szCs w:val="32"/>
        </w:rPr>
        <w:t>3</w:t>
      </w:r>
      <w:r>
        <w:rPr>
          <w:rFonts w:hint="eastAsia" w:eastAsia="方正仿宋简体"/>
          <w:sz w:val="32"/>
          <w:szCs w:val="32"/>
        </w:rPr>
        <w:t>.</w:t>
      </w:r>
      <w:r>
        <w:rPr>
          <w:rFonts w:hint="eastAsia" w:eastAsia="方正仿宋简体"/>
          <w:sz w:val="32"/>
          <w:szCs w:val="32"/>
          <w:lang w:val="en-US" w:eastAsia="zh-CN"/>
        </w:rPr>
        <w:t>组织</w:t>
      </w:r>
      <w:r>
        <w:rPr>
          <w:rFonts w:hint="eastAsia" w:eastAsia="方正仿宋简体"/>
          <w:sz w:val="32"/>
          <w:szCs w:val="32"/>
        </w:rPr>
        <w:t>实施情况</w:t>
      </w:r>
      <w:r>
        <w:rPr>
          <w:rFonts w:hint="eastAsia" w:eastAsia="方正仿宋简体"/>
          <w:sz w:val="32"/>
          <w:szCs w:val="32"/>
          <w:lang w:eastAsia="zh-CN"/>
        </w:rPr>
        <w:t>。</w:t>
      </w:r>
      <w:r>
        <w:rPr>
          <w:rFonts w:hint="eastAsia" w:eastAsia="方正仿宋简体"/>
          <w:sz w:val="28"/>
          <w:szCs w:val="28"/>
          <w:lang w:val="en-US" w:eastAsia="zh-CN"/>
        </w:rPr>
        <w:t>选择地理位置优越，紧靠南塔街道办事处，通过招标程序选择施工单位，按照合同要求进行施工，工程完工后组织验收，合格后支付相应工程款项，建设服务街道辖区群众的便民服务中心。</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保障便民服务中心建设顺利实施，服务群众质量得到改善。数量指标：完成便民服务大厅、街道会议室等基础设施；质量指标：按照设计要求达标率；时效指标：240天内完成；成本指标：资金投入小于等于40.00万元；社会效益指标：方便群众办事；满意度指标：受益群众满意度大于90%。</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街道党工委、街道办高度重视绩效自评工作，及时组织相关人员开展自评工作，对项目完成数量、质量、时效、成本等指标开展自评，并深入开展分析。</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eastAsia="方正仿宋简体"/>
          <w:sz w:val="28"/>
          <w:szCs w:val="28"/>
          <w:lang w:val="en-US" w:eastAsia="zh-CN"/>
        </w:rPr>
        <w:t>严格按照投入、过程、产出、效果等指标评分，自评等级为优。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年度下达</w:t>
      </w:r>
      <w:r>
        <w:rPr>
          <w:rFonts w:hint="eastAsia" w:eastAsia="方正仿宋简体" w:cs="Times New Roman"/>
          <w:kern w:val="2"/>
          <w:sz w:val="28"/>
          <w:szCs w:val="28"/>
          <w:lang w:val="en-US" w:eastAsia="zh-CN" w:bidi="ar-SA"/>
        </w:rPr>
        <w:t>我街道办事处便民服务中心</w:t>
      </w:r>
      <w:r>
        <w:rPr>
          <w:rFonts w:hint="eastAsia" w:ascii="Times New Roman" w:hAnsi="Times New Roman" w:eastAsia="方正仿宋简体" w:cs="Times New Roman"/>
          <w:kern w:val="2"/>
          <w:sz w:val="28"/>
          <w:szCs w:val="28"/>
          <w:lang w:val="en-US" w:eastAsia="zh-CN" w:bidi="ar-SA"/>
        </w:rPr>
        <w:t>建设资金</w:t>
      </w:r>
      <w:r>
        <w:rPr>
          <w:rFonts w:hint="eastAsia" w:eastAsia="方正仿宋简体" w:cs="Times New Roman"/>
          <w:kern w:val="2"/>
          <w:sz w:val="28"/>
          <w:szCs w:val="28"/>
          <w:lang w:val="en-US" w:eastAsia="zh-CN" w:bidi="ar-SA"/>
        </w:rPr>
        <w:t>40.0万</w:t>
      </w:r>
      <w:r>
        <w:rPr>
          <w:rFonts w:hint="eastAsia" w:ascii="Times New Roman" w:hAnsi="Times New Roman" w:eastAsia="方正仿宋简体" w:cs="Times New Roman"/>
          <w:kern w:val="2"/>
          <w:sz w:val="28"/>
          <w:szCs w:val="28"/>
          <w:lang w:val="en-US" w:eastAsia="zh-CN" w:bidi="ar-SA"/>
        </w:rPr>
        <w:t>元</w:t>
      </w:r>
      <w:r>
        <w:rPr>
          <w:rFonts w:hint="eastAsia" w:eastAsia="方正仿宋简体" w:cs="Times New Roman"/>
          <w:kern w:val="2"/>
          <w:sz w:val="28"/>
          <w:szCs w:val="28"/>
          <w:lang w:val="en-US" w:eastAsia="zh-CN" w:bidi="ar-SA"/>
        </w:rPr>
        <w:t>，资金</w:t>
      </w:r>
      <w:r>
        <w:rPr>
          <w:rFonts w:hint="eastAsia" w:ascii="Times New Roman" w:hAnsi="Times New Roman" w:eastAsia="方正仿宋简体" w:cs="Times New Roman"/>
          <w:kern w:val="2"/>
          <w:sz w:val="28"/>
          <w:szCs w:val="28"/>
          <w:lang w:val="en-US" w:eastAsia="zh-CN" w:bidi="ar-SA"/>
        </w:rPr>
        <w:t>到位率100%。2、项目资金执行情况分析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用于南塔街道便民服务中心</w:t>
      </w:r>
      <w:r>
        <w:rPr>
          <w:rFonts w:hint="eastAsia" w:ascii="Times New Roman" w:hAnsi="Times New Roman" w:eastAsia="方正仿宋简体" w:cs="Times New Roman"/>
          <w:kern w:val="2"/>
          <w:sz w:val="28"/>
          <w:szCs w:val="28"/>
          <w:lang w:val="en-US" w:eastAsia="zh-CN" w:bidi="ar-SA"/>
        </w:rPr>
        <w:t>建设，资金执行率为100%</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目前便民服务中心项目建设全部完成，达到了预期效果</w:t>
      </w:r>
      <w:r>
        <w:rPr>
          <w:rFonts w:hint="eastAsia" w:ascii="Times New Roman" w:hAnsi="Times New Roman" w:eastAsia="方正仿宋简体" w:cs="Times New Roman"/>
          <w:kern w:val="2"/>
          <w:sz w:val="28"/>
          <w:szCs w:val="28"/>
          <w:lang w:val="en-US" w:eastAsia="zh-CN" w:bidi="ar-SA"/>
        </w:rPr>
        <w:t>。</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eastAsia="方正黑体简体"/>
          <w:sz w:val="32"/>
          <w:szCs w:val="32"/>
        </w:rPr>
      </w:pPr>
      <w:r>
        <w:rPr>
          <w:rFonts w:hint="eastAsia" w:eastAsia="方正黑体简体"/>
          <w:sz w:val="32"/>
          <w:szCs w:val="32"/>
        </w:rPr>
        <w:t>五、主要经验及做法、存在的问题和建议</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完善对补助建设项目形成资产的管护。建立健全各项运行</w:t>
      </w:r>
      <w:r>
        <w:rPr>
          <w:rFonts w:hint="eastAsia" w:eastAsia="方正仿宋简体" w:cs="Times New Roman"/>
          <w:kern w:val="2"/>
          <w:sz w:val="28"/>
          <w:szCs w:val="28"/>
          <w:lang w:val="en-US" w:eastAsia="zh-CN" w:bidi="ar-SA"/>
        </w:rPr>
        <w:t>管护</w:t>
      </w:r>
      <w:r>
        <w:rPr>
          <w:rFonts w:hint="eastAsia" w:ascii="Times New Roman" w:hAnsi="Times New Roman" w:eastAsia="方正仿宋简体" w:cs="Times New Roman"/>
          <w:kern w:val="2"/>
          <w:sz w:val="28"/>
          <w:szCs w:val="28"/>
          <w:lang w:val="en-US" w:eastAsia="zh-CN" w:bidi="ar-SA"/>
        </w:rPr>
        <w:t>制度，制定管护措施、落实管护责任，保证项目正常运转，发挥长期效益。</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附件：1.202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项目支出绩效自评计分表</w:t>
      </w:r>
    </w:p>
    <w:p>
      <w:pPr>
        <w:spacing w:line="580" w:lineRule="exact"/>
        <w:ind w:firstLine="1120" w:firstLineChars="400"/>
        <w:rPr>
          <w:rFonts w:ascii="宋体" w:hAnsi="宋体" w:eastAsia="方正小标宋简体"/>
          <w:bCs/>
          <w:kern w:val="0"/>
          <w:sz w:val="40"/>
          <w:szCs w:val="40"/>
        </w:rPr>
        <w:sectPr>
          <w:pgSz w:w="11907" w:h="16840"/>
          <w:pgMar w:top="2098" w:right="1474" w:bottom="1928" w:left="1588" w:header="851" w:footer="992" w:gutter="0"/>
          <w:cols w:space="425" w:num="1"/>
          <w:docGrid w:type="lines" w:linePitch="312" w:charSpace="0"/>
        </w:sectPr>
      </w:pPr>
      <w:r>
        <w:rPr>
          <w:rFonts w:hint="eastAsia" w:ascii="Times New Roman" w:hAnsi="Times New Roman" w:eastAsia="方正仿宋简体" w:cs="Times New Roman"/>
          <w:kern w:val="2"/>
          <w:sz w:val="28"/>
          <w:szCs w:val="28"/>
          <w:lang w:val="en-US" w:eastAsia="zh-CN" w:bidi="ar-SA"/>
        </w:rPr>
        <w:t>2.202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w:t>
      </w:r>
      <w:r>
        <w:rPr>
          <w:rFonts w:hint="eastAsia" w:eastAsia="方正小标宋简体"/>
          <w:bCs/>
          <w:kern w:val="0"/>
          <w:sz w:val="44"/>
          <w:szCs w:val="44"/>
          <w:lang w:val="en-US" w:eastAsia="zh-CN"/>
        </w:rPr>
        <w:t>南塔街道</w:t>
      </w:r>
      <w:r>
        <w:rPr>
          <w:rFonts w:hint="eastAsia" w:eastAsia="方正小标宋简体"/>
          <w:bCs/>
          <w:kern w:val="0"/>
          <w:sz w:val="44"/>
          <w:szCs w:val="44"/>
        </w:rPr>
        <w:t>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南塔街道办事处便民服务中心项目</w:t>
      </w:r>
      <w:r>
        <w:rPr>
          <w:rFonts w:hint="eastAsia" w:eastAsia="方正楷体简体"/>
          <w:b/>
          <w:sz w:val="32"/>
          <w:szCs w:val="32"/>
          <w:lang w:eastAsia="zh-CN"/>
        </w:rPr>
        <w:t>建设资金</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乐至县人民政府南塔街道办事处</w:t>
      </w:r>
      <w:r>
        <w:rPr>
          <w:bCs/>
          <w:kern w:val="0"/>
          <w:sz w:val="24"/>
        </w:rPr>
        <w:t xml:space="preserve"> </w:t>
      </w:r>
      <w:r>
        <w:rPr>
          <w:rFonts w:hint="eastAsia"/>
          <w:bCs/>
          <w:kern w:val="0"/>
          <w:sz w:val="24"/>
        </w:rPr>
        <w:t>预算单位编码：</w:t>
      </w:r>
      <w:r>
        <w:rPr>
          <w:rFonts w:hint="eastAsia"/>
          <w:color w:val="000000"/>
          <w:kern w:val="0"/>
          <w:szCs w:val="21"/>
          <w:lang w:val="en-US" w:eastAsia="zh-CN"/>
        </w:rPr>
        <w:t>301001</w:t>
      </w:r>
      <w:r>
        <w:rPr>
          <w:rFonts w:hint="eastAsia"/>
          <w:bCs/>
          <w:kern w:val="0"/>
          <w:sz w:val="24"/>
        </w:rPr>
        <w:t>自评等级：</w:t>
      </w:r>
      <w:r>
        <w:rPr>
          <w:rFonts w:hint="eastAsia"/>
          <w:bCs/>
          <w:kern w:val="0"/>
          <w:sz w:val="24"/>
          <w:lang w:val="en-US" w:eastAsia="zh-CN"/>
        </w:rPr>
        <w:t>优</w:t>
      </w:r>
    </w:p>
    <w:tbl>
      <w:tblPr>
        <w:tblStyle w:val="4"/>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78"/>
        <w:gridCol w:w="667"/>
        <w:gridCol w:w="815"/>
        <w:gridCol w:w="1664"/>
        <w:gridCol w:w="3510"/>
        <w:gridCol w:w="672"/>
        <w:gridCol w:w="11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按照程序</w:t>
            </w:r>
          </w:p>
          <w:p>
            <w:pPr>
              <w:widowControl/>
              <w:spacing w:line="240" w:lineRule="exact"/>
              <w:jc w:val="center"/>
              <w:rPr>
                <w:rFonts w:hint="eastAsia"/>
                <w:kern w:val="0"/>
                <w:szCs w:val="21"/>
                <w:lang w:val="en-US" w:eastAsia="zh-CN"/>
              </w:rPr>
            </w:pPr>
            <w:r>
              <w:rPr>
                <w:rFonts w:hint="eastAsia"/>
                <w:kern w:val="0"/>
                <w:szCs w:val="21"/>
                <w:lang w:val="en-US" w:eastAsia="zh-CN"/>
              </w:rPr>
              <w:t>完成立项</w:t>
            </w:r>
          </w:p>
          <w:p>
            <w:pPr>
              <w:widowControl/>
              <w:spacing w:line="240" w:lineRule="exact"/>
              <w:jc w:val="center"/>
              <w:rPr>
                <w:rFonts w:hint="default"/>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开展事前</w:t>
            </w:r>
          </w:p>
          <w:p>
            <w:pPr>
              <w:widowControl/>
              <w:spacing w:line="240" w:lineRule="exact"/>
              <w:jc w:val="center"/>
              <w:rPr>
                <w:rFonts w:hint="default"/>
                <w:kern w:val="0"/>
                <w:szCs w:val="21"/>
                <w:lang w:val="en-US" w:eastAsia="zh-CN"/>
              </w:rPr>
            </w:pPr>
            <w:r>
              <w:rPr>
                <w:rFonts w:hint="eastAsia"/>
                <w:kern w:val="0"/>
                <w:szCs w:val="21"/>
                <w:lang w:val="en-US" w:eastAsia="zh-CN"/>
              </w:rPr>
              <w:t>绩效评估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绩效指标</w:t>
            </w:r>
          </w:p>
          <w:p>
            <w:pPr>
              <w:widowControl/>
              <w:spacing w:line="240" w:lineRule="exact"/>
              <w:jc w:val="center"/>
              <w:rPr>
                <w:rFonts w:hint="default" w:eastAsia="宋体"/>
                <w:kern w:val="0"/>
                <w:szCs w:val="21"/>
                <w:lang w:val="en-US" w:eastAsia="zh-CN"/>
              </w:rPr>
            </w:pPr>
            <w:r>
              <w:rPr>
                <w:rFonts w:hint="eastAsia"/>
                <w:kern w:val="0"/>
                <w:szCs w:val="21"/>
                <w:lang w:val="en-US" w:eastAsia="zh-CN"/>
              </w:rPr>
              <w:t>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eastAsia"/>
                <w:kern w:val="0"/>
                <w:szCs w:val="21"/>
                <w:lang w:val="en-US" w:eastAsia="zh-CN"/>
              </w:rPr>
            </w:pPr>
            <w:r>
              <w:rPr>
                <w:rFonts w:hint="eastAsia"/>
                <w:kern w:val="0"/>
                <w:szCs w:val="21"/>
                <w:lang w:val="en-US" w:eastAsia="zh-CN"/>
              </w:rPr>
              <w:t>到账后按</w:t>
            </w:r>
          </w:p>
          <w:p>
            <w:pPr>
              <w:widowControl/>
              <w:spacing w:line="240" w:lineRule="exact"/>
              <w:jc w:val="center"/>
              <w:rPr>
                <w:rFonts w:hint="eastAsia"/>
                <w:kern w:val="0"/>
                <w:szCs w:val="21"/>
                <w:lang w:val="en-US" w:eastAsia="zh-CN"/>
              </w:rPr>
            </w:pPr>
            <w:r>
              <w:rPr>
                <w:rFonts w:hint="eastAsia"/>
                <w:kern w:val="0"/>
                <w:szCs w:val="21"/>
                <w:lang w:val="en-US" w:eastAsia="zh-CN"/>
              </w:rPr>
              <w:t>照合同约</w:t>
            </w:r>
          </w:p>
          <w:p>
            <w:pPr>
              <w:widowControl/>
              <w:spacing w:line="240" w:lineRule="exact"/>
              <w:jc w:val="center"/>
              <w:rPr>
                <w:rFonts w:hint="eastAsia"/>
                <w:kern w:val="0"/>
                <w:szCs w:val="21"/>
                <w:lang w:val="en-US" w:eastAsia="zh-CN"/>
              </w:rPr>
            </w:pPr>
            <w:r>
              <w:rPr>
                <w:rFonts w:hint="eastAsia"/>
                <w:kern w:val="0"/>
                <w:szCs w:val="21"/>
                <w:lang w:val="en-US" w:eastAsia="zh-CN"/>
              </w:rPr>
              <w:t>定及时支</w:t>
            </w:r>
          </w:p>
          <w:p>
            <w:pPr>
              <w:widowControl/>
              <w:spacing w:line="240" w:lineRule="exact"/>
              <w:jc w:val="center"/>
              <w:rPr>
                <w:rFonts w:hint="default"/>
                <w:kern w:val="0"/>
                <w:szCs w:val="21"/>
                <w:lang w:val="en-US" w:eastAsia="zh-CN"/>
              </w:rPr>
            </w:pPr>
            <w:r>
              <w:rPr>
                <w:rFonts w:hint="eastAsia"/>
                <w:kern w:val="0"/>
                <w:szCs w:val="21"/>
                <w:lang w:val="en-US" w:eastAsia="zh-CN"/>
              </w:rPr>
              <w:t>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default"/>
                <w:kern w:val="0"/>
                <w:szCs w:val="21"/>
                <w:lang w:val="en-US" w:eastAsia="zh-CN"/>
              </w:rPr>
            </w:pPr>
            <w:r>
              <w:rPr>
                <w:rFonts w:hint="eastAsia"/>
                <w:kern w:val="0"/>
                <w:szCs w:val="21"/>
                <w:lang w:val="en-US" w:eastAsia="zh-CN"/>
              </w:rPr>
              <w:t>到位迟缓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center"/>
              <w:rPr>
                <w:rFonts w:hint="eastAsia"/>
                <w:kern w:val="0"/>
                <w:szCs w:val="21"/>
                <w:lang w:val="en-US" w:eastAsia="zh-CN"/>
              </w:rPr>
            </w:pPr>
            <w:r>
              <w:rPr>
                <w:rFonts w:hint="eastAsia"/>
                <w:kern w:val="0"/>
                <w:szCs w:val="21"/>
                <w:lang w:val="en-US" w:eastAsia="zh-CN"/>
              </w:rPr>
              <w:t>聘有质量</w:t>
            </w:r>
          </w:p>
          <w:p>
            <w:pPr>
              <w:widowControl/>
              <w:spacing w:line="260" w:lineRule="exact"/>
              <w:jc w:val="center"/>
              <w:rPr>
                <w:rFonts w:hint="default" w:eastAsia="宋体"/>
                <w:kern w:val="0"/>
                <w:szCs w:val="21"/>
                <w:lang w:val="en-US" w:eastAsia="zh-CN"/>
              </w:rPr>
            </w:pPr>
            <w:r>
              <w:rPr>
                <w:rFonts w:hint="eastAsia"/>
                <w:kern w:val="0"/>
                <w:szCs w:val="21"/>
                <w:lang w:val="en-US" w:eastAsia="zh-CN"/>
              </w:rPr>
              <w:t>监理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专款专用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如期竣工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竣工验收</w:t>
            </w:r>
          </w:p>
          <w:p>
            <w:pPr>
              <w:widowControl/>
              <w:spacing w:line="240" w:lineRule="exact"/>
              <w:jc w:val="center"/>
              <w:rPr>
                <w:rFonts w:hint="default"/>
                <w:kern w:val="0"/>
                <w:szCs w:val="21"/>
                <w:lang w:val="en-US" w:eastAsia="zh-CN"/>
              </w:rPr>
            </w:pPr>
            <w:r>
              <w:rPr>
                <w:rFonts w:hint="eastAsia"/>
                <w:kern w:val="0"/>
                <w:szCs w:val="21"/>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控制在</w:t>
            </w:r>
          </w:p>
          <w:p>
            <w:pPr>
              <w:widowControl/>
              <w:spacing w:line="240" w:lineRule="exact"/>
              <w:jc w:val="center"/>
              <w:rPr>
                <w:rFonts w:hint="default"/>
                <w:kern w:val="0"/>
                <w:szCs w:val="21"/>
                <w:lang w:val="en-US" w:eastAsia="zh-CN"/>
              </w:rPr>
            </w:pPr>
            <w:r>
              <w:rPr>
                <w:rFonts w:hint="eastAsia"/>
                <w:kern w:val="0"/>
                <w:szCs w:val="21"/>
                <w:lang w:val="en-US" w:eastAsia="zh-CN"/>
              </w:rPr>
              <w:t>预算内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96</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w:t>
      </w:r>
      <w:r>
        <w:rPr>
          <w:rFonts w:hint="eastAsia" w:eastAsia="方正小标宋简体"/>
          <w:color w:val="000000"/>
          <w:spacing w:val="-12"/>
          <w:kern w:val="0"/>
          <w:sz w:val="44"/>
          <w:szCs w:val="44"/>
          <w:lang w:val="en-US" w:eastAsia="zh-CN"/>
        </w:rPr>
        <w:t>南塔街道</w:t>
      </w:r>
      <w:r>
        <w:rPr>
          <w:rFonts w:hint="eastAsia" w:eastAsia="方正小标宋简体"/>
          <w:color w:val="000000"/>
          <w:spacing w:val="-12"/>
          <w:kern w:val="0"/>
          <w:sz w:val="44"/>
          <w:szCs w:val="44"/>
        </w:rPr>
        <w:t>项目支出绩效目标完成情况表</w:t>
      </w:r>
    </w:p>
    <w:p>
      <w:pPr>
        <w:pStyle w:val="2"/>
        <w:spacing w:after="0" w:line="240" w:lineRule="exact"/>
        <w:rPr>
          <w:rFonts w:ascii="宋体"/>
        </w:rPr>
      </w:pPr>
    </w:p>
    <w:tbl>
      <w:tblPr>
        <w:tblStyle w:val="4"/>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578" w:type="dxa"/>
            <w:gridSpan w:val="6"/>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eastAsia="方正楷体简体"/>
                <w:b w:val="0"/>
                <w:bCs w:val="0"/>
                <w:sz w:val="24"/>
                <w:szCs w:val="24"/>
                <w:lang w:val="en-US" w:eastAsia="zh-CN"/>
              </w:rPr>
              <w:t>乐至县人民政府南塔街道办事处便民服务中心</w:t>
            </w:r>
            <w:r>
              <w:rPr>
                <w:rFonts w:hint="eastAsia" w:eastAsia="方正楷体简体"/>
                <w:b w:val="0"/>
                <w:bCs w:val="0"/>
                <w:sz w:val="24"/>
                <w:szCs w:val="24"/>
                <w:lang w:eastAsia="zh-CN"/>
              </w:rPr>
              <w:t>建设资金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175" w:type="dxa"/>
            <w:noWrap/>
            <w:vAlign w:val="center"/>
          </w:tcPr>
          <w:p>
            <w:pPr>
              <w:spacing w:line="240" w:lineRule="exact"/>
              <w:jc w:val="center"/>
              <w:rPr>
                <w:szCs w:val="21"/>
              </w:rPr>
            </w:pPr>
            <w:r>
              <w:rPr>
                <w:rFonts w:hint="eastAsia"/>
                <w:color w:val="000000"/>
                <w:kern w:val="0"/>
                <w:szCs w:val="21"/>
              </w:rPr>
              <w:sym w:font="Wingdings 2" w:char="00A3"/>
            </w:r>
          </w:p>
        </w:tc>
        <w:tc>
          <w:tcPr>
            <w:tcW w:w="2491" w:type="dxa"/>
            <w:gridSpan w:val="2"/>
            <w:noWrap/>
            <w:vAlign w:val="center"/>
          </w:tcPr>
          <w:p>
            <w:pPr>
              <w:spacing w:line="240" w:lineRule="exact"/>
              <w:jc w:val="center"/>
              <w:rPr>
                <w:szCs w:val="21"/>
              </w:rPr>
            </w:pPr>
            <w:r>
              <w:rPr>
                <w:rFonts w:hint="eastAsia"/>
                <w:color w:val="000000"/>
                <w:kern w:val="0"/>
                <w:szCs w:val="21"/>
              </w:rPr>
              <w:sym w:font="Wingdings 2" w:char="0052"/>
            </w:r>
          </w:p>
        </w:tc>
        <w:tc>
          <w:tcPr>
            <w:tcW w:w="3318" w:type="dxa"/>
            <w:gridSpan w:val="2"/>
            <w:noWrap/>
            <w:vAlign w:val="center"/>
          </w:tcPr>
          <w:p>
            <w:pPr>
              <w:spacing w:line="240" w:lineRule="exact"/>
              <w:jc w:val="center"/>
              <w:rPr>
                <w:szCs w:val="21"/>
              </w:rPr>
            </w:pPr>
            <w:r>
              <w:rPr>
                <w:rFonts w:hint="eastAsia"/>
                <w:color w:val="000000"/>
                <w:kern w:val="0"/>
                <w:szCs w:val="21"/>
              </w:rPr>
              <w:sym w:font="Wingdings 2" w:char="00A3"/>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260"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乐至县人民政府南塔街道办事处</w:t>
            </w:r>
            <w:r>
              <w:rPr>
                <w:rFonts w:hint="eastAsia"/>
                <w:color w:val="000000"/>
                <w:kern w:val="0"/>
                <w:szCs w:val="21"/>
              </w:rPr>
              <w:t>　</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65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both"/>
              <w:rPr>
                <w:color w:val="000000"/>
                <w:kern w:val="0"/>
                <w:szCs w:val="21"/>
              </w:rPr>
            </w:pPr>
            <w:r>
              <w:rPr>
                <w:rFonts w:hint="eastAsia"/>
                <w:color w:val="000000"/>
                <w:kern w:val="0"/>
                <w:szCs w:val="21"/>
              </w:rPr>
              <w:t>预算执行情况</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17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40.00</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40.00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40.00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40.00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7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2769"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保障便民服务中心顺利实施，服务群众质量得到改善，提高群众满意度。</w:t>
            </w:r>
          </w:p>
        </w:tc>
        <w:tc>
          <w:tcPr>
            <w:tcW w:w="2491" w:type="dxa"/>
            <w:gridSpan w:val="2"/>
            <w:noWrap/>
            <w:vAlign w:val="center"/>
          </w:tcPr>
          <w:p>
            <w:pPr>
              <w:widowControl/>
              <w:spacing w:line="240" w:lineRule="exact"/>
              <w:jc w:val="both"/>
              <w:rPr>
                <w:color w:val="000000"/>
                <w:kern w:val="0"/>
                <w:szCs w:val="21"/>
              </w:rPr>
            </w:pPr>
            <w:r>
              <w:rPr>
                <w:rFonts w:hint="eastAsia"/>
                <w:color w:val="000000"/>
                <w:kern w:val="0"/>
                <w:szCs w:val="21"/>
                <w:lang w:val="en-US" w:eastAsia="zh-CN"/>
              </w:rPr>
              <w:t>便民服务中心完成基础设施建设，服务群众质量得到一定改善，基本达到预期要求。</w:t>
            </w:r>
            <w:r>
              <w:rPr>
                <w:rFonts w:hint="eastAsia"/>
                <w:color w:val="000000"/>
                <w:kern w:val="0"/>
                <w:szCs w:val="21"/>
              </w:rPr>
              <w:t>　</w:t>
            </w:r>
          </w:p>
        </w:tc>
        <w:tc>
          <w:tcPr>
            <w:tcW w:w="3318"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17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新建房屋面积</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≥910平方米</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完成910平方米</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eastAsia"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default"/>
                <w:color w:val="000000"/>
                <w:kern w:val="0"/>
                <w:szCs w:val="21"/>
                <w:lang w:val="en-US"/>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eastAsia"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5"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竣工验收质量合格率</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验收合格率为100%</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完成时效</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240天</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完成工期232天</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项目</w:t>
            </w:r>
          </w:p>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资金总投入</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≤40万元</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已投入40万元</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30"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可持续影响</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 xml:space="preserve">项目总合使用年限 </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 xml:space="preserve"> ≥70年</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预计70年以上 </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 xml:space="preserve">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 受益群众满意度</w:t>
            </w:r>
          </w:p>
        </w:tc>
        <w:tc>
          <w:tcPr>
            <w:tcW w:w="12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≥90%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满意度95%</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w:t>
            </w:r>
          </w:p>
        </w:tc>
      </w:tr>
    </w:tbl>
    <w:p>
      <w:pPr>
        <w:spacing w:line="620" w:lineRule="exact"/>
        <w:jc w:val="center"/>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altName w:val="Wingdings"/>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6A1634"/>
    <w:rsid w:val="072136B4"/>
    <w:rsid w:val="0B0010B3"/>
    <w:rsid w:val="0C7E54E8"/>
    <w:rsid w:val="0CF354CA"/>
    <w:rsid w:val="0D024DC1"/>
    <w:rsid w:val="0E7705ED"/>
    <w:rsid w:val="13957470"/>
    <w:rsid w:val="151F285D"/>
    <w:rsid w:val="15951F88"/>
    <w:rsid w:val="166A1634"/>
    <w:rsid w:val="171C41D4"/>
    <w:rsid w:val="17AD19F5"/>
    <w:rsid w:val="18BA2219"/>
    <w:rsid w:val="1A7A6963"/>
    <w:rsid w:val="1D401DDE"/>
    <w:rsid w:val="20BE798D"/>
    <w:rsid w:val="23761AD2"/>
    <w:rsid w:val="2E0B7D89"/>
    <w:rsid w:val="2E1D3465"/>
    <w:rsid w:val="339C589A"/>
    <w:rsid w:val="34B16D22"/>
    <w:rsid w:val="3B8C52EB"/>
    <w:rsid w:val="3F497323"/>
    <w:rsid w:val="43700831"/>
    <w:rsid w:val="44F602E9"/>
    <w:rsid w:val="4916794A"/>
    <w:rsid w:val="535830F8"/>
    <w:rsid w:val="541C4C02"/>
    <w:rsid w:val="5425489B"/>
    <w:rsid w:val="56F75F74"/>
    <w:rsid w:val="5A56518C"/>
    <w:rsid w:val="5EAE2803"/>
    <w:rsid w:val="63273A76"/>
    <w:rsid w:val="6498300E"/>
    <w:rsid w:val="656A06B0"/>
    <w:rsid w:val="6FF2616E"/>
    <w:rsid w:val="71A22EB7"/>
    <w:rsid w:val="73885FA3"/>
    <w:rsid w:val="751E4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Administrator</cp:lastModifiedBy>
  <dcterms:modified xsi:type="dcterms:W3CDTF">2023-11-08T06:51:00Z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39A52BF9DA6440348AF970972D7A8D9F</vt:lpwstr>
  </property>
</Properties>
</file>